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74FC" w:rsidRDefault="008874FC" w:rsidP="008874FC">
      <w:pPr>
        <w:spacing w:after="0" w:line="480" w:lineRule="auto"/>
        <w:jc w:val="center"/>
        <w:rPr>
          <w:rFonts w:ascii="Times New Roman" w:eastAsia="Calibri" w:hAnsi="Times New Roman" w:cs="Times New Roman"/>
          <w:sz w:val="24"/>
          <w:szCs w:val="24"/>
        </w:rPr>
      </w:pPr>
      <w:bookmarkStart w:id="0" w:name="_GoBack"/>
      <w:bookmarkEnd w:id="0"/>
    </w:p>
    <w:p w:rsidR="008874FC" w:rsidRDefault="008874FC" w:rsidP="008874FC">
      <w:pPr>
        <w:spacing w:after="0" w:line="480" w:lineRule="auto"/>
        <w:jc w:val="center"/>
        <w:rPr>
          <w:rFonts w:ascii="Times New Roman" w:eastAsia="Calibri" w:hAnsi="Times New Roman" w:cs="Times New Roman"/>
          <w:sz w:val="24"/>
          <w:szCs w:val="24"/>
        </w:rPr>
      </w:pPr>
    </w:p>
    <w:p w:rsidR="008874FC" w:rsidRDefault="008874FC" w:rsidP="008874FC">
      <w:pPr>
        <w:spacing w:after="0" w:line="480" w:lineRule="auto"/>
        <w:jc w:val="center"/>
        <w:rPr>
          <w:rFonts w:ascii="Times New Roman" w:eastAsia="Calibri" w:hAnsi="Times New Roman" w:cs="Times New Roman"/>
          <w:sz w:val="24"/>
          <w:szCs w:val="24"/>
        </w:rPr>
      </w:pPr>
    </w:p>
    <w:p w:rsidR="008874FC" w:rsidRDefault="008874FC" w:rsidP="008874FC">
      <w:pPr>
        <w:spacing w:after="0" w:line="480" w:lineRule="auto"/>
        <w:jc w:val="center"/>
        <w:rPr>
          <w:rFonts w:ascii="Times New Roman" w:eastAsia="Calibri" w:hAnsi="Times New Roman" w:cs="Times New Roman"/>
          <w:sz w:val="24"/>
          <w:szCs w:val="24"/>
        </w:rPr>
      </w:pPr>
    </w:p>
    <w:p w:rsidR="008874FC" w:rsidRDefault="008874FC" w:rsidP="008874FC">
      <w:pPr>
        <w:spacing w:after="0" w:line="480" w:lineRule="auto"/>
        <w:jc w:val="center"/>
        <w:rPr>
          <w:rFonts w:ascii="Times New Roman" w:eastAsia="Calibri" w:hAnsi="Times New Roman" w:cs="Times New Roman"/>
          <w:sz w:val="24"/>
          <w:szCs w:val="24"/>
        </w:rPr>
      </w:pPr>
    </w:p>
    <w:p w:rsidR="008874FC" w:rsidRDefault="008874FC" w:rsidP="008874FC">
      <w:pPr>
        <w:spacing w:after="0" w:line="480" w:lineRule="auto"/>
        <w:jc w:val="center"/>
        <w:rPr>
          <w:rFonts w:ascii="Times New Roman" w:eastAsia="Calibri" w:hAnsi="Times New Roman" w:cs="Times New Roman"/>
          <w:sz w:val="24"/>
          <w:szCs w:val="24"/>
        </w:rPr>
      </w:pPr>
    </w:p>
    <w:p w:rsidR="008874FC" w:rsidRDefault="008874FC" w:rsidP="008874FC">
      <w:pPr>
        <w:spacing w:line="480" w:lineRule="auto"/>
        <w:ind w:firstLine="720"/>
        <w:jc w:val="center"/>
        <w:rPr>
          <w:rFonts w:ascii="Times New Roman" w:hAnsi="Times New Roman" w:cs="Times New Roman"/>
          <w:sz w:val="24"/>
          <w:szCs w:val="24"/>
        </w:rPr>
      </w:pPr>
      <w:r w:rsidRPr="0004627B">
        <w:rPr>
          <w:rFonts w:ascii="Times New Roman" w:hAnsi="Times New Roman" w:cs="Times New Roman"/>
          <w:sz w:val="24"/>
          <w:szCs w:val="24"/>
        </w:rPr>
        <w:t>Education philosophy</w:t>
      </w:r>
      <w:r>
        <w:rPr>
          <w:rFonts w:ascii="Times New Roman" w:hAnsi="Times New Roman" w:cs="Times New Roman"/>
          <w:sz w:val="24"/>
          <w:szCs w:val="24"/>
        </w:rPr>
        <w:t xml:space="preserve"> and Principles</w:t>
      </w:r>
    </w:p>
    <w:p w:rsidR="008874FC" w:rsidRPr="0032568C" w:rsidRDefault="008874FC" w:rsidP="008874FC">
      <w:pPr>
        <w:spacing w:after="0" w:line="480" w:lineRule="auto"/>
        <w:jc w:val="center"/>
        <w:rPr>
          <w:rFonts w:ascii="Times New Roman" w:eastAsia="Calibri" w:hAnsi="Times New Roman" w:cs="Times New Roman"/>
          <w:sz w:val="24"/>
          <w:szCs w:val="24"/>
        </w:rPr>
      </w:pPr>
      <w:r w:rsidRPr="0032568C">
        <w:rPr>
          <w:rFonts w:ascii="Times New Roman" w:eastAsia="Calibri" w:hAnsi="Times New Roman" w:cs="Times New Roman"/>
          <w:sz w:val="24"/>
          <w:szCs w:val="24"/>
        </w:rPr>
        <w:t>Name</w:t>
      </w:r>
    </w:p>
    <w:p w:rsidR="008874FC" w:rsidRPr="0032568C" w:rsidRDefault="008874FC" w:rsidP="008874FC">
      <w:pPr>
        <w:spacing w:after="0" w:line="480" w:lineRule="auto"/>
        <w:jc w:val="center"/>
        <w:rPr>
          <w:rFonts w:ascii="Times New Roman" w:eastAsia="Calibri" w:hAnsi="Times New Roman" w:cs="Times New Roman"/>
          <w:sz w:val="24"/>
          <w:szCs w:val="24"/>
        </w:rPr>
      </w:pPr>
      <w:r w:rsidRPr="0032568C">
        <w:rPr>
          <w:rFonts w:ascii="Times New Roman" w:eastAsia="Calibri" w:hAnsi="Times New Roman" w:cs="Times New Roman"/>
          <w:sz w:val="24"/>
          <w:szCs w:val="24"/>
        </w:rPr>
        <w:t>Institutional Affiliation</w:t>
      </w:r>
    </w:p>
    <w:p w:rsidR="0004627B" w:rsidRDefault="0004627B">
      <w:pPr>
        <w:rPr>
          <w:rFonts w:ascii="Times New Roman" w:hAnsi="Times New Roman" w:cs="Times New Roman"/>
          <w:sz w:val="24"/>
          <w:szCs w:val="24"/>
        </w:rPr>
      </w:pPr>
      <w:r>
        <w:rPr>
          <w:rFonts w:ascii="Times New Roman" w:hAnsi="Times New Roman" w:cs="Times New Roman"/>
          <w:sz w:val="24"/>
          <w:szCs w:val="24"/>
        </w:rPr>
        <w:br w:type="page"/>
      </w:r>
    </w:p>
    <w:p w:rsidR="0004627B" w:rsidRDefault="0004627B" w:rsidP="0004627B">
      <w:pPr>
        <w:spacing w:line="480" w:lineRule="auto"/>
        <w:ind w:firstLine="720"/>
        <w:jc w:val="center"/>
        <w:rPr>
          <w:rFonts w:ascii="Times New Roman" w:hAnsi="Times New Roman" w:cs="Times New Roman"/>
          <w:sz w:val="24"/>
          <w:szCs w:val="24"/>
        </w:rPr>
      </w:pPr>
      <w:r w:rsidRPr="0004627B">
        <w:rPr>
          <w:rFonts w:ascii="Times New Roman" w:hAnsi="Times New Roman" w:cs="Times New Roman"/>
          <w:sz w:val="24"/>
          <w:szCs w:val="24"/>
        </w:rPr>
        <w:lastRenderedPageBreak/>
        <w:t>Education philosophy</w:t>
      </w:r>
      <w:r>
        <w:rPr>
          <w:rFonts w:ascii="Times New Roman" w:hAnsi="Times New Roman" w:cs="Times New Roman"/>
          <w:sz w:val="24"/>
          <w:szCs w:val="24"/>
        </w:rPr>
        <w:t xml:space="preserve"> and Principles</w:t>
      </w:r>
    </w:p>
    <w:p w:rsidR="009D6D14" w:rsidRPr="0004627B" w:rsidRDefault="009D6D14" w:rsidP="0004627B">
      <w:pPr>
        <w:spacing w:line="480" w:lineRule="auto"/>
        <w:ind w:firstLine="360"/>
        <w:rPr>
          <w:rFonts w:ascii="Times New Roman" w:hAnsi="Times New Roman" w:cs="Times New Roman"/>
          <w:sz w:val="24"/>
          <w:szCs w:val="24"/>
        </w:rPr>
      </w:pPr>
      <w:r w:rsidRPr="0004627B">
        <w:rPr>
          <w:rFonts w:ascii="Times New Roman" w:hAnsi="Times New Roman" w:cs="Times New Roman"/>
          <w:sz w:val="24"/>
          <w:szCs w:val="24"/>
        </w:rPr>
        <w:t>Education philosophy is an assertion or set of explanations that distinguishes and explains the convictions, qualities and understandings of an individual or gathering for schooling. It is characterized by a well thought out idea of coordinated assortment of information and assessment on instruction, both as it is conceptualized and as it is rehearsed. The different way of thinking is also the basic characterizing and coordinating the reasons, goals and focal point of a school. It ought to likewise serve to move and direct instructive arranging, projects and cycles in some random setting</w:t>
      </w:r>
      <w:r w:rsidR="009F2B43" w:rsidRPr="0004627B">
        <w:rPr>
          <w:rFonts w:ascii="Times New Roman" w:hAnsi="Times New Roman" w:cs="Times New Roman"/>
          <w:sz w:val="24"/>
          <w:szCs w:val="24"/>
        </w:rPr>
        <w:t xml:space="preserve"> (Siegel, 2009)</w:t>
      </w:r>
      <w:r w:rsidRPr="0004627B">
        <w:rPr>
          <w:rFonts w:ascii="Times New Roman" w:hAnsi="Times New Roman" w:cs="Times New Roman"/>
          <w:sz w:val="24"/>
          <w:szCs w:val="24"/>
        </w:rPr>
        <w:t xml:space="preserve">. </w:t>
      </w:r>
      <w:r w:rsidR="00C32FEE" w:rsidRPr="0004627B">
        <w:rPr>
          <w:rFonts w:ascii="Times New Roman" w:hAnsi="Times New Roman" w:cs="Times New Roman"/>
          <w:sz w:val="24"/>
          <w:szCs w:val="24"/>
        </w:rPr>
        <w:t xml:space="preserve">In this paper three principles incorporated in schooling </w:t>
      </w:r>
      <w:r w:rsidR="009F2B43" w:rsidRPr="0004627B">
        <w:rPr>
          <w:rFonts w:ascii="Times New Roman" w:hAnsi="Times New Roman" w:cs="Times New Roman"/>
          <w:sz w:val="24"/>
          <w:szCs w:val="24"/>
        </w:rPr>
        <w:t xml:space="preserve">will be debunked. </w:t>
      </w:r>
      <w:r w:rsidR="00C32FEE" w:rsidRPr="0004627B">
        <w:rPr>
          <w:rFonts w:ascii="Times New Roman" w:hAnsi="Times New Roman" w:cs="Times New Roman"/>
          <w:sz w:val="24"/>
          <w:szCs w:val="24"/>
        </w:rPr>
        <w:t>The principles were written and reviewed by Arthur W. Chickering and Zelda F. Gamson in the year 1987. They include (Chickering &amp; Gamson, 1989, p. 140);</w:t>
      </w:r>
    </w:p>
    <w:p w:rsidR="00C32FEE" w:rsidRPr="0004627B" w:rsidRDefault="00C32FEE" w:rsidP="00C32FEE">
      <w:pPr>
        <w:pStyle w:val="ListParagraph"/>
        <w:numPr>
          <w:ilvl w:val="0"/>
          <w:numId w:val="1"/>
        </w:numPr>
        <w:spacing w:line="480" w:lineRule="auto"/>
        <w:rPr>
          <w:rFonts w:ascii="Times New Roman" w:hAnsi="Times New Roman" w:cs="Times New Roman"/>
          <w:sz w:val="24"/>
          <w:szCs w:val="24"/>
        </w:rPr>
      </w:pPr>
      <w:r w:rsidRPr="0004627B">
        <w:rPr>
          <w:rFonts w:ascii="Times New Roman" w:hAnsi="Times New Roman" w:cs="Times New Roman"/>
          <w:sz w:val="24"/>
          <w:szCs w:val="24"/>
        </w:rPr>
        <w:t>“Develops reciprocity and cooperation among students.”</w:t>
      </w:r>
    </w:p>
    <w:p w:rsidR="00C32FEE" w:rsidRPr="0004627B" w:rsidRDefault="00C32FEE" w:rsidP="00C32FEE">
      <w:pPr>
        <w:pStyle w:val="ListParagraph"/>
        <w:numPr>
          <w:ilvl w:val="0"/>
          <w:numId w:val="1"/>
        </w:numPr>
        <w:spacing w:line="480" w:lineRule="auto"/>
        <w:rPr>
          <w:rFonts w:ascii="Times New Roman" w:hAnsi="Times New Roman" w:cs="Times New Roman"/>
          <w:sz w:val="24"/>
          <w:szCs w:val="24"/>
        </w:rPr>
      </w:pPr>
      <w:r w:rsidRPr="0004627B">
        <w:rPr>
          <w:rFonts w:ascii="Times New Roman" w:hAnsi="Times New Roman" w:cs="Times New Roman"/>
          <w:sz w:val="24"/>
          <w:szCs w:val="24"/>
        </w:rPr>
        <w:t>“Encourages active learning”</w:t>
      </w:r>
    </w:p>
    <w:p w:rsidR="00C32FEE" w:rsidRPr="0004627B" w:rsidRDefault="00C32FEE" w:rsidP="00C32FEE">
      <w:pPr>
        <w:pStyle w:val="ListParagraph"/>
        <w:numPr>
          <w:ilvl w:val="0"/>
          <w:numId w:val="1"/>
        </w:numPr>
        <w:spacing w:line="480" w:lineRule="auto"/>
        <w:rPr>
          <w:rFonts w:ascii="Times New Roman" w:hAnsi="Times New Roman" w:cs="Times New Roman"/>
          <w:sz w:val="24"/>
          <w:szCs w:val="24"/>
        </w:rPr>
      </w:pPr>
      <w:r w:rsidRPr="0004627B">
        <w:rPr>
          <w:rFonts w:ascii="Times New Roman" w:hAnsi="Times New Roman" w:cs="Times New Roman"/>
          <w:sz w:val="24"/>
          <w:szCs w:val="24"/>
        </w:rPr>
        <w:t>“Gives prompt feedback.”</w:t>
      </w:r>
    </w:p>
    <w:p w:rsidR="007F5F6C" w:rsidRPr="0004627B" w:rsidRDefault="00C32FEE" w:rsidP="009D6D14">
      <w:pPr>
        <w:spacing w:line="480" w:lineRule="auto"/>
        <w:rPr>
          <w:rFonts w:ascii="Times New Roman" w:hAnsi="Times New Roman" w:cs="Times New Roman"/>
          <w:b/>
          <w:sz w:val="24"/>
          <w:szCs w:val="24"/>
        </w:rPr>
      </w:pPr>
      <w:r w:rsidRPr="0004627B">
        <w:rPr>
          <w:rFonts w:ascii="Times New Roman" w:hAnsi="Times New Roman" w:cs="Times New Roman"/>
          <w:b/>
          <w:sz w:val="24"/>
          <w:szCs w:val="24"/>
        </w:rPr>
        <w:t>Develops reciprocity and cooperation among students</w:t>
      </w:r>
    </w:p>
    <w:p w:rsidR="000F1DB3" w:rsidRPr="0004627B" w:rsidRDefault="00013C68" w:rsidP="000F1DB3">
      <w:pPr>
        <w:spacing w:line="480" w:lineRule="auto"/>
        <w:ind w:firstLine="720"/>
        <w:rPr>
          <w:rFonts w:ascii="Times New Roman" w:hAnsi="Times New Roman" w:cs="Times New Roman"/>
          <w:sz w:val="24"/>
          <w:szCs w:val="24"/>
        </w:rPr>
      </w:pPr>
      <w:r w:rsidRPr="0004627B">
        <w:rPr>
          <w:rFonts w:ascii="Times New Roman" w:hAnsi="Times New Roman" w:cs="Times New Roman"/>
          <w:sz w:val="24"/>
          <w:szCs w:val="24"/>
        </w:rPr>
        <w:t>According to Chickering &amp; Gamson (1989, p. 140</w:t>
      </w:r>
      <w:r w:rsidR="004F413B" w:rsidRPr="0004627B">
        <w:rPr>
          <w:rFonts w:ascii="Times New Roman" w:hAnsi="Times New Roman" w:cs="Times New Roman"/>
          <w:sz w:val="24"/>
          <w:szCs w:val="24"/>
        </w:rPr>
        <w:t xml:space="preserve">) stipulates that learning is improved when it is more of a collaboration than a competition among students. Great learning, like great work, is best achieved on social-cooperative. Working with others regularly expands contribution in learning. Sharing one's own thoughts and reacting to others' responses hones thinking and develops understanding. However there are researchers who have questioned the efficiency of the principle </w:t>
      </w:r>
      <w:r w:rsidR="000F1DB3" w:rsidRPr="0004627B">
        <w:rPr>
          <w:rFonts w:ascii="Times New Roman" w:hAnsi="Times New Roman" w:cs="Times New Roman"/>
          <w:sz w:val="24"/>
          <w:szCs w:val="24"/>
        </w:rPr>
        <w:t xml:space="preserve">(Parveen et al., 2017, p. 74) which they concluded from the case study that collaboration-based gets the hang of encouraging climate gave participation, upheld </w:t>
      </w:r>
      <w:r w:rsidR="000F1DB3" w:rsidRPr="0004627B">
        <w:rPr>
          <w:rFonts w:ascii="Times New Roman" w:hAnsi="Times New Roman" w:cs="Times New Roman"/>
          <w:sz w:val="24"/>
          <w:szCs w:val="24"/>
        </w:rPr>
        <w:lastRenderedPageBreak/>
        <w:t>perpetual learning, added to the advancement of social and individual aptitudes, yet additionally caused stress as it expects understudies to be effective at all stages.</w:t>
      </w:r>
    </w:p>
    <w:p w:rsidR="000F1DB3" w:rsidRPr="0004627B" w:rsidRDefault="000F1DB3" w:rsidP="000F1DB3">
      <w:pPr>
        <w:spacing w:line="480" w:lineRule="auto"/>
        <w:rPr>
          <w:rFonts w:ascii="Times New Roman" w:hAnsi="Times New Roman" w:cs="Times New Roman"/>
          <w:b/>
          <w:sz w:val="24"/>
          <w:szCs w:val="24"/>
        </w:rPr>
      </w:pPr>
      <w:r w:rsidRPr="0004627B">
        <w:rPr>
          <w:rFonts w:ascii="Times New Roman" w:hAnsi="Times New Roman" w:cs="Times New Roman"/>
          <w:b/>
          <w:sz w:val="24"/>
          <w:szCs w:val="24"/>
        </w:rPr>
        <w:t>Encourages active learning</w:t>
      </w:r>
    </w:p>
    <w:p w:rsidR="00E21754" w:rsidRPr="0004627B" w:rsidRDefault="000F1DB3" w:rsidP="00E36448">
      <w:pPr>
        <w:spacing w:line="480" w:lineRule="auto"/>
        <w:ind w:firstLine="720"/>
        <w:rPr>
          <w:rFonts w:ascii="Times New Roman" w:hAnsi="Times New Roman" w:cs="Times New Roman"/>
          <w:sz w:val="24"/>
          <w:szCs w:val="24"/>
        </w:rPr>
      </w:pPr>
      <w:r w:rsidRPr="0004627B">
        <w:rPr>
          <w:rFonts w:ascii="Times New Roman" w:hAnsi="Times New Roman" w:cs="Times New Roman"/>
          <w:sz w:val="24"/>
          <w:szCs w:val="24"/>
        </w:rPr>
        <w:t xml:space="preserve">Similarly the objectiveness of the principle is achieved </w:t>
      </w:r>
      <w:r w:rsidR="00E21754" w:rsidRPr="0004627B">
        <w:rPr>
          <w:rFonts w:ascii="Times New Roman" w:hAnsi="Times New Roman" w:cs="Times New Roman"/>
          <w:sz w:val="24"/>
          <w:szCs w:val="24"/>
        </w:rPr>
        <w:t xml:space="preserve">only </w:t>
      </w:r>
      <w:r w:rsidRPr="0004627B">
        <w:rPr>
          <w:rFonts w:ascii="Times New Roman" w:hAnsi="Times New Roman" w:cs="Times New Roman"/>
          <w:sz w:val="24"/>
          <w:szCs w:val="24"/>
        </w:rPr>
        <w:t>when learners do not expe</w:t>
      </w:r>
      <w:r w:rsidR="00E21754" w:rsidRPr="0004627B">
        <w:rPr>
          <w:rFonts w:ascii="Times New Roman" w:hAnsi="Times New Roman" w:cs="Times New Roman"/>
          <w:sz w:val="24"/>
          <w:szCs w:val="24"/>
        </w:rPr>
        <w:t>ct to learn just by observing while turning in the instructor, remembering what was taught, and answering questions. But the students should discuss what they have understood or taught, expound on it, relate it to past encounters and apply them to their day by day lives. Implying they should embody what they have been taught (Chickering &amp; Gamson, 1989, p. 140). However Drake (2012, p. 49) disputes Active learning as a sta</w:t>
      </w:r>
      <w:r w:rsidR="00E36448" w:rsidRPr="0004627B">
        <w:rPr>
          <w:rFonts w:ascii="Times New Roman" w:hAnsi="Times New Roman" w:cs="Times New Roman"/>
          <w:sz w:val="24"/>
          <w:szCs w:val="24"/>
        </w:rPr>
        <w:t>ndard learning principle, he says that active learning is only viable on a calculated arrangement which leaves the learner with a mixed based learning sequence. He proposes that a cognitive progressive approach based on comprehension of substance is the most proper method of advancing significant learning. This is achieved by the instructor covering the straightforward ideas first; educators can guarantee a more profound comprehension of thoughts vital for understanding complex thoughts later in a course.</w:t>
      </w:r>
    </w:p>
    <w:p w:rsidR="00E36448" w:rsidRPr="0004627B" w:rsidRDefault="00E36448" w:rsidP="00E36448">
      <w:pPr>
        <w:spacing w:line="480" w:lineRule="auto"/>
        <w:rPr>
          <w:rFonts w:ascii="Times New Roman" w:hAnsi="Times New Roman" w:cs="Times New Roman"/>
          <w:b/>
          <w:sz w:val="24"/>
          <w:szCs w:val="24"/>
        </w:rPr>
      </w:pPr>
      <w:r w:rsidRPr="0004627B">
        <w:rPr>
          <w:rFonts w:ascii="Times New Roman" w:hAnsi="Times New Roman" w:cs="Times New Roman"/>
          <w:b/>
          <w:sz w:val="24"/>
          <w:szCs w:val="24"/>
        </w:rPr>
        <w:t>Gives prompt feedback</w:t>
      </w:r>
    </w:p>
    <w:p w:rsidR="007B75F3" w:rsidRPr="0004627B" w:rsidRDefault="00B272A8" w:rsidP="00B272A8">
      <w:pPr>
        <w:spacing w:line="480" w:lineRule="auto"/>
        <w:ind w:firstLine="720"/>
        <w:rPr>
          <w:rFonts w:ascii="Times New Roman" w:hAnsi="Times New Roman" w:cs="Times New Roman"/>
          <w:sz w:val="24"/>
          <w:szCs w:val="24"/>
        </w:rPr>
      </w:pPr>
      <w:r w:rsidRPr="0004627B">
        <w:rPr>
          <w:rFonts w:ascii="Times New Roman" w:hAnsi="Times New Roman" w:cs="Times New Roman"/>
          <w:sz w:val="24"/>
          <w:szCs w:val="24"/>
        </w:rPr>
        <w:t xml:space="preserve">This being the fourth principle in the proposition by Chickering &amp; Gamson (1989, p. 140) they have indicated that learning is centered on affirming what you are familiar or understand to what you have no idea off. This gives the student leverage to get immediate criticism and a viable assessment on their work done, that will enable them improve on various study topics they find troublesome. Furthermore there is no inherence opposition on giving prompt </w:t>
      </w:r>
      <w:r w:rsidR="007B75F3" w:rsidRPr="0004627B">
        <w:rPr>
          <w:rFonts w:ascii="Times New Roman" w:hAnsi="Times New Roman" w:cs="Times New Roman"/>
          <w:sz w:val="24"/>
          <w:szCs w:val="24"/>
        </w:rPr>
        <w:t>feedback;</w:t>
      </w:r>
      <w:r w:rsidRPr="0004627B">
        <w:rPr>
          <w:rFonts w:ascii="Times New Roman" w:hAnsi="Times New Roman" w:cs="Times New Roman"/>
          <w:sz w:val="24"/>
          <w:szCs w:val="24"/>
        </w:rPr>
        <w:t xml:space="preserve"> however researcher</w:t>
      </w:r>
      <w:r w:rsidR="007B75F3" w:rsidRPr="0004627B">
        <w:rPr>
          <w:rFonts w:ascii="Times New Roman" w:hAnsi="Times New Roman" w:cs="Times New Roman"/>
          <w:sz w:val="24"/>
          <w:szCs w:val="24"/>
        </w:rPr>
        <w:t xml:space="preserve"> has</w:t>
      </w:r>
      <w:r w:rsidRPr="0004627B">
        <w:rPr>
          <w:rFonts w:ascii="Times New Roman" w:hAnsi="Times New Roman" w:cs="Times New Roman"/>
          <w:sz w:val="24"/>
          <w:szCs w:val="24"/>
        </w:rPr>
        <w:t xml:space="preserve"> delved into studying how students understand the concept of immediate feedb</w:t>
      </w:r>
      <w:r w:rsidR="007B75F3" w:rsidRPr="0004627B">
        <w:rPr>
          <w:rFonts w:ascii="Times New Roman" w:hAnsi="Times New Roman" w:cs="Times New Roman"/>
          <w:sz w:val="24"/>
          <w:szCs w:val="24"/>
        </w:rPr>
        <w:t xml:space="preserve">ack (Mendes et al., 2011, p. 32). Mendes et al. (2011, p. 32) infers from their findings that </w:t>
      </w:r>
      <w:r w:rsidR="007B75F3" w:rsidRPr="0004627B">
        <w:rPr>
          <w:rFonts w:ascii="Times New Roman" w:hAnsi="Times New Roman" w:cs="Times New Roman"/>
          <w:sz w:val="24"/>
          <w:szCs w:val="24"/>
        </w:rPr>
        <w:lastRenderedPageBreak/>
        <w:t>institutions should invest in improving prompt feedbacks and elaborating the importance of immediate feedback to students.</w:t>
      </w:r>
    </w:p>
    <w:p w:rsidR="00E36448" w:rsidRPr="0004627B" w:rsidRDefault="007B75F3" w:rsidP="007B75F3">
      <w:pPr>
        <w:spacing w:line="480" w:lineRule="auto"/>
        <w:rPr>
          <w:rFonts w:ascii="Times New Roman" w:hAnsi="Times New Roman" w:cs="Times New Roman"/>
          <w:b/>
          <w:sz w:val="24"/>
          <w:szCs w:val="24"/>
        </w:rPr>
      </w:pPr>
      <w:r w:rsidRPr="0004627B">
        <w:rPr>
          <w:rFonts w:ascii="Times New Roman" w:hAnsi="Times New Roman" w:cs="Times New Roman"/>
          <w:b/>
          <w:sz w:val="24"/>
          <w:szCs w:val="24"/>
        </w:rPr>
        <w:t>Conclusion</w:t>
      </w:r>
    </w:p>
    <w:p w:rsidR="007B75F3" w:rsidRPr="0004627B" w:rsidRDefault="007B75F3" w:rsidP="0004627B">
      <w:pPr>
        <w:spacing w:line="480" w:lineRule="auto"/>
        <w:ind w:firstLine="720"/>
        <w:rPr>
          <w:rFonts w:ascii="Times New Roman" w:hAnsi="Times New Roman" w:cs="Times New Roman"/>
          <w:sz w:val="24"/>
          <w:szCs w:val="24"/>
        </w:rPr>
      </w:pPr>
      <w:r w:rsidRPr="0004627B">
        <w:rPr>
          <w:rFonts w:ascii="Times New Roman" w:hAnsi="Times New Roman" w:cs="Times New Roman"/>
          <w:sz w:val="24"/>
          <w:szCs w:val="24"/>
        </w:rPr>
        <w:t xml:space="preserve">For any better learning experience in a class or school environment. </w:t>
      </w:r>
      <w:r w:rsidR="0004627B" w:rsidRPr="0004627B">
        <w:rPr>
          <w:rFonts w:ascii="Times New Roman" w:hAnsi="Times New Roman" w:cs="Times New Roman"/>
          <w:sz w:val="24"/>
          <w:szCs w:val="24"/>
        </w:rPr>
        <w:t>The efficiency of the principle is based on the instructors’ ability to communicate effectively with the students. Additionally, despite the fact the teacher is well vast in their area of study is significant, having the option to impart important abilities and ideas in a manner understudies can comprehend is critical. This is a viable rule in applying the principle under study (Chickering &amp; Gamson, 1989, p. 140).</w:t>
      </w:r>
    </w:p>
    <w:p w:rsidR="0004627B" w:rsidRDefault="0004627B">
      <w:pPr>
        <w:rPr>
          <w:rFonts w:ascii="Times New Roman" w:hAnsi="Times New Roman" w:cs="Times New Roman"/>
          <w:sz w:val="24"/>
          <w:szCs w:val="24"/>
        </w:rPr>
      </w:pPr>
      <w:r>
        <w:rPr>
          <w:rFonts w:ascii="Times New Roman" w:hAnsi="Times New Roman" w:cs="Times New Roman"/>
          <w:sz w:val="24"/>
          <w:szCs w:val="24"/>
        </w:rPr>
        <w:br w:type="page"/>
      </w:r>
    </w:p>
    <w:p w:rsidR="00E36448" w:rsidRDefault="0004627B" w:rsidP="0004627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874FC" w:rsidRDefault="008874FC" w:rsidP="008874FC">
      <w:pPr>
        <w:pStyle w:val="NormalWeb"/>
        <w:spacing w:line="480" w:lineRule="auto"/>
        <w:ind w:left="720" w:hanging="720"/>
      </w:pPr>
      <w:r>
        <w:t xml:space="preserve">Chickering, A. W., &amp; Gamson, Z. F. (1989). Seven principles for good practice in undergraduate education. </w:t>
      </w:r>
      <w:r>
        <w:rPr>
          <w:i/>
          <w:iCs/>
        </w:rPr>
        <w:t>Biochemical Education</w:t>
      </w:r>
      <w:r>
        <w:t xml:space="preserve">, </w:t>
      </w:r>
      <w:r>
        <w:rPr>
          <w:i/>
          <w:iCs/>
        </w:rPr>
        <w:t>17</w:t>
      </w:r>
      <w:r>
        <w:t>(3), 140–141. https://doi.org/10.1016/0307-4412(89)90094-0</w:t>
      </w:r>
    </w:p>
    <w:p w:rsidR="008874FC" w:rsidRDefault="008874FC" w:rsidP="008874FC">
      <w:pPr>
        <w:pStyle w:val="NormalWeb"/>
        <w:spacing w:line="480" w:lineRule="auto"/>
        <w:ind w:left="720" w:hanging="720"/>
      </w:pPr>
      <w:r>
        <w:t xml:space="preserve">Drake, J. R. (2012). A Critical Analysis of Active Learning and an Alternative Pedagogical Framework for Introductory Information Systems Courses. </w:t>
      </w:r>
      <w:r>
        <w:rPr>
          <w:i/>
          <w:iCs/>
        </w:rPr>
        <w:t>Journal of Information Technology Education: Innovations in Practice</w:t>
      </w:r>
      <w:r>
        <w:t xml:space="preserve">, </w:t>
      </w:r>
      <w:r>
        <w:rPr>
          <w:i/>
          <w:iCs/>
        </w:rPr>
        <w:t>11</w:t>
      </w:r>
      <w:r>
        <w:t>, 039–052. https://doi.org/10.28945/1546</w:t>
      </w:r>
    </w:p>
    <w:p w:rsidR="008874FC" w:rsidRDefault="008874FC" w:rsidP="008874FC">
      <w:pPr>
        <w:pStyle w:val="NormalWeb"/>
        <w:spacing w:line="480" w:lineRule="auto"/>
        <w:ind w:left="720" w:hanging="720"/>
      </w:pPr>
      <w:r>
        <w:t xml:space="preserve">Mendes, P., Thomas, C., &amp; Cleaver, E. (2011). The meaning of prompt feedback and other student perceptions of feedback: should National Student Survey scores be taken at face value? </w:t>
      </w:r>
      <w:r>
        <w:rPr>
          <w:i/>
          <w:iCs/>
        </w:rPr>
        <w:t>Engineering Education</w:t>
      </w:r>
      <w:r>
        <w:t xml:space="preserve">, </w:t>
      </w:r>
      <w:r>
        <w:rPr>
          <w:i/>
          <w:iCs/>
        </w:rPr>
        <w:t>6</w:t>
      </w:r>
      <w:r>
        <w:t>(1), 31–39. https://doi.org/10.11120/ened.2011.06010031</w:t>
      </w:r>
    </w:p>
    <w:p w:rsidR="008874FC" w:rsidRDefault="008874FC" w:rsidP="008874FC">
      <w:pPr>
        <w:pStyle w:val="NormalWeb"/>
        <w:spacing w:line="480" w:lineRule="auto"/>
        <w:ind w:left="720" w:hanging="720"/>
      </w:pPr>
      <w:r>
        <w:t xml:space="preserve">Parveen, Q., Yousuf, M. I., &amp; Mustafa, S. (2017). An experimental study on the effect of cooperative learning on students’ academic achievement and students’ perceptions towards cooperative learning. </w:t>
      </w:r>
      <w:r>
        <w:rPr>
          <w:i/>
          <w:iCs/>
        </w:rPr>
        <w:t>The Anthropologist</w:t>
      </w:r>
      <w:r>
        <w:t xml:space="preserve">, </w:t>
      </w:r>
      <w:r>
        <w:rPr>
          <w:i/>
          <w:iCs/>
        </w:rPr>
        <w:t>27</w:t>
      </w:r>
      <w:r>
        <w:t>(1–3), 69–76. https://doi.org/10.1080/09720073.2017.1311670</w:t>
      </w:r>
    </w:p>
    <w:p w:rsidR="008874FC" w:rsidRDefault="008874FC" w:rsidP="008874FC">
      <w:pPr>
        <w:pStyle w:val="NormalWeb"/>
        <w:spacing w:line="480" w:lineRule="auto"/>
        <w:ind w:left="720" w:hanging="720"/>
      </w:pPr>
      <w:r>
        <w:t xml:space="preserve">Siegel, H. (2009, October 30). </w:t>
      </w:r>
      <w:r>
        <w:rPr>
          <w:i/>
          <w:iCs/>
        </w:rPr>
        <w:t>Introduction: Philosophy of Education and Philosophy</w:t>
      </w:r>
      <w:r>
        <w:t>. Oxford Handbooks Online. https://www.oxfordhandbooks.com/view/10.1093/oxfordhb/9780195312881.001.0001/oxfordhb-9780195312881-e-001</w:t>
      </w:r>
    </w:p>
    <w:sectPr w:rsidR="008874FC" w:rsidSect="0004627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56F7" w:rsidRDefault="00E556F7" w:rsidP="0004627B">
      <w:pPr>
        <w:spacing w:after="0" w:line="240" w:lineRule="auto"/>
      </w:pPr>
      <w:r>
        <w:separator/>
      </w:r>
    </w:p>
  </w:endnote>
  <w:endnote w:type="continuationSeparator" w:id="0">
    <w:p w:rsidR="00E556F7" w:rsidRDefault="00E556F7" w:rsidP="000462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56F7" w:rsidRDefault="00E556F7" w:rsidP="0004627B">
      <w:pPr>
        <w:spacing w:after="0" w:line="240" w:lineRule="auto"/>
      </w:pPr>
      <w:r>
        <w:separator/>
      </w:r>
    </w:p>
  </w:footnote>
  <w:footnote w:type="continuationSeparator" w:id="0">
    <w:p w:rsidR="00E556F7" w:rsidRDefault="00E556F7" w:rsidP="000462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627B" w:rsidRPr="0004627B" w:rsidRDefault="0004627B" w:rsidP="0004627B">
    <w:pPr>
      <w:pStyle w:val="Header"/>
      <w:rPr>
        <w:rFonts w:ascii="Times New Roman" w:hAnsi="Times New Roman" w:cs="Times New Roman"/>
        <w:sz w:val="24"/>
        <w:szCs w:val="24"/>
      </w:rPr>
    </w:pPr>
    <w:r w:rsidRPr="0004627B">
      <w:rPr>
        <w:rFonts w:ascii="Times New Roman" w:hAnsi="Times New Roman" w:cs="Times New Roman"/>
        <w:sz w:val="24"/>
        <w:szCs w:val="24"/>
      </w:rPr>
      <w:t xml:space="preserve">EDUCATION PHILOSOPHY </w:t>
    </w:r>
    <w:sdt>
      <w:sdtPr>
        <w:rPr>
          <w:rFonts w:ascii="Times New Roman" w:hAnsi="Times New Roman" w:cs="Times New Roman"/>
          <w:sz w:val="24"/>
          <w:szCs w:val="24"/>
        </w:rPr>
        <w:id w:val="-970748643"/>
        <w:docPartObj>
          <w:docPartGallery w:val="Page Numbers (Top of Page)"/>
          <w:docPartUnique/>
        </w:docPartObj>
      </w:sdtPr>
      <w:sdtEndPr>
        <w:rPr>
          <w:noProof/>
        </w:rPr>
      </w:sdtEndPr>
      <w:sdtContent>
        <w:r w:rsidRPr="0004627B">
          <w:rPr>
            <w:rFonts w:ascii="Times New Roman" w:hAnsi="Times New Roman" w:cs="Times New Roman"/>
            <w:sz w:val="24"/>
            <w:szCs w:val="24"/>
          </w:rPr>
          <w:tab/>
        </w:r>
        <w:r w:rsidRPr="0004627B">
          <w:rPr>
            <w:rFonts w:ascii="Times New Roman" w:hAnsi="Times New Roman" w:cs="Times New Roman"/>
            <w:sz w:val="24"/>
            <w:szCs w:val="24"/>
          </w:rPr>
          <w:tab/>
        </w:r>
        <w:r w:rsidRPr="0004627B">
          <w:rPr>
            <w:rFonts w:ascii="Times New Roman" w:hAnsi="Times New Roman" w:cs="Times New Roman"/>
            <w:sz w:val="24"/>
            <w:szCs w:val="24"/>
          </w:rPr>
          <w:tab/>
        </w:r>
        <w:r w:rsidRPr="0004627B">
          <w:rPr>
            <w:rFonts w:ascii="Times New Roman" w:hAnsi="Times New Roman" w:cs="Times New Roman"/>
            <w:sz w:val="24"/>
            <w:szCs w:val="24"/>
          </w:rPr>
          <w:fldChar w:fldCharType="begin"/>
        </w:r>
        <w:r w:rsidRPr="0004627B">
          <w:rPr>
            <w:rFonts w:ascii="Times New Roman" w:hAnsi="Times New Roman" w:cs="Times New Roman"/>
            <w:sz w:val="24"/>
            <w:szCs w:val="24"/>
          </w:rPr>
          <w:instrText xml:space="preserve"> PAGE   \* MERGEFORMAT </w:instrText>
        </w:r>
        <w:r w:rsidRPr="0004627B">
          <w:rPr>
            <w:rFonts w:ascii="Times New Roman" w:hAnsi="Times New Roman" w:cs="Times New Roman"/>
            <w:sz w:val="24"/>
            <w:szCs w:val="24"/>
          </w:rPr>
          <w:fldChar w:fldCharType="separate"/>
        </w:r>
        <w:r w:rsidR="00E33F9D">
          <w:rPr>
            <w:rFonts w:ascii="Times New Roman" w:hAnsi="Times New Roman" w:cs="Times New Roman"/>
            <w:noProof/>
            <w:sz w:val="24"/>
            <w:szCs w:val="24"/>
          </w:rPr>
          <w:t>3</w:t>
        </w:r>
        <w:r w:rsidRPr="0004627B">
          <w:rPr>
            <w:rFonts w:ascii="Times New Roman" w:hAnsi="Times New Roman" w:cs="Times New Roman"/>
            <w:noProof/>
            <w:sz w:val="24"/>
            <w:szCs w:val="24"/>
          </w:rPr>
          <w:fldChar w:fldCharType="end"/>
        </w:r>
      </w:sdtContent>
    </w:sdt>
  </w:p>
  <w:p w:rsidR="0004627B" w:rsidRDefault="0004627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455860"/>
      <w:docPartObj>
        <w:docPartGallery w:val="Page Numbers (Top of Page)"/>
        <w:docPartUnique/>
      </w:docPartObj>
    </w:sdtPr>
    <w:sdtEndPr>
      <w:rPr>
        <w:rFonts w:ascii="Times New Roman" w:hAnsi="Times New Roman" w:cs="Times New Roman"/>
        <w:noProof/>
        <w:sz w:val="24"/>
        <w:szCs w:val="24"/>
      </w:rPr>
    </w:sdtEndPr>
    <w:sdtContent>
      <w:p w:rsidR="0004627B" w:rsidRPr="0004627B" w:rsidRDefault="0004627B">
        <w:pPr>
          <w:pStyle w:val="Header"/>
          <w:jc w:val="right"/>
          <w:rPr>
            <w:rFonts w:ascii="Times New Roman" w:hAnsi="Times New Roman" w:cs="Times New Roman"/>
            <w:sz w:val="24"/>
            <w:szCs w:val="24"/>
          </w:rPr>
        </w:pPr>
        <w:r w:rsidRPr="0004627B">
          <w:rPr>
            <w:rFonts w:ascii="Times New Roman" w:hAnsi="Times New Roman" w:cs="Times New Roman"/>
            <w:sz w:val="24"/>
            <w:szCs w:val="24"/>
          </w:rPr>
          <w:fldChar w:fldCharType="begin"/>
        </w:r>
        <w:r w:rsidRPr="0004627B">
          <w:rPr>
            <w:rFonts w:ascii="Times New Roman" w:hAnsi="Times New Roman" w:cs="Times New Roman"/>
            <w:sz w:val="24"/>
            <w:szCs w:val="24"/>
          </w:rPr>
          <w:instrText xml:space="preserve"> PAGE   \* MERGEFORMAT </w:instrText>
        </w:r>
        <w:r w:rsidRPr="0004627B">
          <w:rPr>
            <w:rFonts w:ascii="Times New Roman" w:hAnsi="Times New Roman" w:cs="Times New Roman"/>
            <w:sz w:val="24"/>
            <w:szCs w:val="24"/>
          </w:rPr>
          <w:fldChar w:fldCharType="separate"/>
        </w:r>
        <w:r w:rsidR="00E33F9D">
          <w:rPr>
            <w:rFonts w:ascii="Times New Roman" w:hAnsi="Times New Roman" w:cs="Times New Roman"/>
            <w:noProof/>
            <w:sz w:val="24"/>
            <w:szCs w:val="24"/>
          </w:rPr>
          <w:t>1</w:t>
        </w:r>
        <w:r w:rsidRPr="0004627B">
          <w:rPr>
            <w:rFonts w:ascii="Times New Roman" w:hAnsi="Times New Roman" w:cs="Times New Roman"/>
            <w:noProof/>
            <w:sz w:val="24"/>
            <w:szCs w:val="24"/>
          </w:rPr>
          <w:fldChar w:fldCharType="end"/>
        </w:r>
      </w:p>
    </w:sdtContent>
  </w:sdt>
  <w:p w:rsidR="0004627B" w:rsidRDefault="0004627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261D3"/>
    <w:multiLevelType w:val="hybridMultilevel"/>
    <w:tmpl w:val="50206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D14"/>
    <w:rsid w:val="00013C68"/>
    <w:rsid w:val="0004627B"/>
    <w:rsid w:val="000F1DB3"/>
    <w:rsid w:val="00123831"/>
    <w:rsid w:val="004F413B"/>
    <w:rsid w:val="007B75F3"/>
    <w:rsid w:val="008874FC"/>
    <w:rsid w:val="009D6D14"/>
    <w:rsid w:val="009F2B43"/>
    <w:rsid w:val="00B272A8"/>
    <w:rsid w:val="00C15EBA"/>
    <w:rsid w:val="00C32FEE"/>
    <w:rsid w:val="00E21754"/>
    <w:rsid w:val="00E33F9D"/>
    <w:rsid w:val="00E36448"/>
    <w:rsid w:val="00E556F7"/>
    <w:rsid w:val="00F7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FEE"/>
    <w:pPr>
      <w:ind w:left="720"/>
      <w:contextualSpacing/>
    </w:pPr>
  </w:style>
  <w:style w:type="paragraph" w:styleId="Header">
    <w:name w:val="header"/>
    <w:basedOn w:val="Normal"/>
    <w:link w:val="HeaderChar"/>
    <w:uiPriority w:val="99"/>
    <w:unhideWhenUsed/>
    <w:rsid w:val="00046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27B"/>
  </w:style>
  <w:style w:type="paragraph" w:styleId="Footer">
    <w:name w:val="footer"/>
    <w:basedOn w:val="Normal"/>
    <w:link w:val="FooterChar"/>
    <w:uiPriority w:val="99"/>
    <w:unhideWhenUsed/>
    <w:rsid w:val="0004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27B"/>
  </w:style>
  <w:style w:type="paragraph" w:styleId="NormalWeb">
    <w:name w:val="Normal (Web)"/>
    <w:basedOn w:val="Normal"/>
    <w:uiPriority w:val="99"/>
    <w:semiHidden/>
    <w:unhideWhenUsed/>
    <w:rsid w:val="008874FC"/>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2FEE"/>
    <w:pPr>
      <w:ind w:left="720"/>
      <w:contextualSpacing/>
    </w:pPr>
  </w:style>
  <w:style w:type="paragraph" w:styleId="Header">
    <w:name w:val="header"/>
    <w:basedOn w:val="Normal"/>
    <w:link w:val="HeaderChar"/>
    <w:uiPriority w:val="99"/>
    <w:unhideWhenUsed/>
    <w:rsid w:val="000462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627B"/>
  </w:style>
  <w:style w:type="paragraph" w:styleId="Footer">
    <w:name w:val="footer"/>
    <w:basedOn w:val="Normal"/>
    <w:link w:val="FooterChar"/>
    <w:uiPriority w:val="99"/>
    <w:unhideWhenUsed/>
    <w:rsid w:val="000462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627B"/>
  </w:style>
  <w:style w:type="paragraph" w:styleId="NormalWeb">
    <w:name w:val="Normal (Web)"/>
    <w:basedOn w:val="Normal"/>
    <w:uiPriority w:val="99"/>
    <w:semiHidden/>
    <w:unhideWhenUsed/>
    <w:rsid w:val="008874F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626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819</Words>
  <Characters>4674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VINNY</cp:lastModifiedBy>
  <cp:revision>2</cp:revision>
  <dcterms:created xsi:type="dcterms:W3CDTF">2020-12-08T19:04:00Z</dcterms:created>
  <dcterms:modified xsi:type="dcterms:W3CDTF">2020-12-08T19:04:00Z</dcterms:modified>
</cp:coreProperties>
</file>